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jc w:val="center"/>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沈工</w:t>
      </w:r>
      <w:r>
        <w:rPr>
          <w:rFonts w:hint="eastAsia" w:ascii="仿宋_GB2312" w:hAnsi="仿宋_GB2312" w:eastAsia="仿宋_GB2312" w:cs="仿宋_GB2312"/>
          <w:sz w:val="32"/>
          <w:szCs w:val="32"/>
          <w:lang w:val="en-US" w:eastAsia="zh-CN"/>
        </w:rPr>
        <w:t>评建</w:t>
      </w:r>
      <w:r>
        <w:rPr>
          <w:rFonts w:hint="eastAsia" w:ascii="仿宋_GB2312" w:hAnsi="仿宋_GB2312" w:eastAsia="仿宋_GB2312" w:cs="仿宋_GB2312"/>
          <w:sz w:val="32"/>
          <w:szCs w:val="32"/>
        </w:rPr>
        <w:t>发</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号</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640" w:firstLineChars="200"/>
        <w:jc w:val="both"/>
        <w:textAlignment w:val="auto"/>
        <w:outlineLvl w:val="9"/>
        <w:rPr>
          <w:rFonts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883" w:firstLineChars="200"/>
        <w:jc w:val="both"/>
        <w:textAlignment w:val="auto"/>
        <w:outlineLvl w:val="9"/>
        <w:rPr>
          <w:rFonts w:cs="Arial" w:asciiTheme="majorEastAsia" w:hAnsiTheme="majorEastAsia" w:eastAsiaTheme="majorEastAsia"/>
          <w:b/>
          <w:bCs/>
          <w:color w:val="000000"/>
          <w:sz w:val="44"/>
          <w:szCs w:val="44"/>
        </w:rPr>
      </w:pP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jc w:val="center"/>
        <w:textAlignment w:val="auto"/>
        <w:outlineLvl w:val="9"/>
        <w:rPr>
          <w:rFonts w:hint="eastAsia" w:ascii="宋体" w:hAnsi="宋体" w:eastAsia="宋体" w:cs="宋体"/>
          <w:b/>
          <w:kern w:val="0"/>
          <w:sz w:val="44"/>
          <w:szCs w:val="44"/>
        </w:rPr>
      </w:pPr>
      <w:r>
        <w:rPr>
          <w:rFonts w:hint="eastAsia" w:ascii="宋体" w:hAnsi="宋体" w:eastAsia="宋体" w:cs="宋体"/>
          <w:b/>
          <w:kern w:val="0"/>
          <w:sz w:val="44"/>
          <w:szCs w:val="44"/>
        </w:rPr>
        <w:t>关于印发《沈阳工学院2019年迎评促建</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jc w:val="center"/>
        <w:textAlignment w:val="auto"/>
        <w:outlineLvl w:val="9"/>
        <w:rPr>
          <w:rFonts w:hint="eastAsia" w:ascii="宋体" w:hAnsi="宋体" w:eastAsia="宋体" w:cs="宋体"/>
          <w:b/>
          <w:kern w:val="0"/>
          <w:sz w:val="44"/>
          <w:szCs w:val="44"/>
        </w:rPr>
      </w:pPr>
      <w:r>
        <w:rPr>
          <w:rFonts w:hint="eastAsia" w:ascii="宋体" w:hAnsi="宋体" w:eastAsia="宋体" w:cs="宋体"/>
          <w:b/>
          <w:kern w:val="0"/>
          <w:sz w:val="44"/>
          <w:szCs w:val="44"/>
        </w:rPr>
        <w:t>工作安排》的通知</w:t>
      </w:r>
    </w:p>
    <w:p>
      <w:pPr>
        <w:keepNext w:val="0"/>
        <w:keepLines w:val="0"/>
        <w:pageBreakBefore w:val="0"/>
        <w:widowControl/>
        <w:kinsoku/>
        <w:wordWrap/>
        <w:overflowPunct/>
        <w:topLinePunct w:val="0"/>
        <w:autoSpaceDE/>
        <w:autoSpaceDN/>
        <w:bidi w:val="0"/>
        <w:adjustRightInd/>
        <w:snapToGrid w:val="0"/>
        <w:spacing w:line="560" w:lineRule="exact"/>
        <w:ind w:left="-210" w:leftChars="-100" w:right="-210" w:rightChars="-100"/>
        <w:jc w:val="both"/>
        <w:textAlignment w:val="auto"/>
        <w:outlineLvl w:val="9"/>
        <w:rPr>
          <w:rFonts w:hint="eastAsia" w:ascii="宋体" w:hAnsi="宋体" w:eastAsia="宋体" w:cs="宋体"/>
          <w:b/>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textAlignment w:val="auto"/>
        <w:rPr>
          <w:rFonts w:hint="eastAsia" w:ascii="仿宋" w:hAnsi="仿宋" w:eastAsia="仿宋" w:cs="仿宋"/>
          <w:sz w:val="32"/>
          <w:szCs w:val="32"/>
        </w:rPr>
      </w:pPr>
      <w:r>
        <w:rPr>
          <w:rFonts w:hint="eastAsia" w:ascii="仿宋" w:hAnsi="仿宋" w:eastAsia="仿宋" w:cs="仿宋"/>
          <w:sz w:val="32"/>
          <w:szCs w:val="32"/>
        </w:rPr>
        <w:t>各单位：</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为落实学校2019年工作要点要求，做好迎评促建工作，现将《沈阳工学院2019年迎评促建工作安排》印发给你们，请认真贯彻执行。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left="5230" w:leftChars="-100" w:right="-210" w:rightChars="-100" w:hanging="5440" w:hangingChars="17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5230" w:leftChars="-100" w:right="-210" w:rightChars="-100" w:hanging="5440" w:hangingChars="17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5216" w:leftChars="2484" w:right="-210" w:rightChars="-100" w:firstLine="320" w:firstLineChars="100"/>
        <w:jc w:val="left"/>
        <w:textAlignment w:val="auto"/>
        <w:rPr>
          <w:rFonts w:hint="eastAsia" w:ascii="仿宋" w:hAnsi="仿宋" w:eastAsia="仿宋" w:cs="仿宋"/>
          <w:sz w:val="32"/>
          <w:szCs w:val="32"/>
        </w:rPr>
      </w:pPr>
      <w:r>
        <w:rPr>
          <w:rFonts w:hint="eastAsia" w:ascii="仿宋" w:hAnsi="仿宋" w:eastAsia="仿宋" w:cs="仿宋"/>
          <w:sz w:val="32"/>
          <w:szCs w:val="32"/>
        </w:rPr>
        <w:t>沈阳工学院</w:t>
      </w:r>
    </w:p>
    <w:p>
      <w:pPr>
        <w:keepNext w:val="0"/>
        <w:keepLines w:val="0"/>
        <w:pageBreakBefore w:val="0"/>
        <w:widowControl w:val="0"/>
        <w:kinsoku/>
        <w:wordWrap/>
        <w:overflowPunct/>
        <w:topLinePunct w:val="0"/>
        <w:autoSpaceDE/>
        <w:autoSpaceDN/>
        <w:bidi w:val="0"/>
        <w:adjustRightInd/>
        <w:snapToGrid/>
        <w:spacing w:line="560" w:lineRule="exact"/>
        <w:ind w:left="5216" w:leftChars="2484" w:right="-210" w:rightChars="-10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2019年3月20日</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jc w:val="center"/>
        <w:textAlignment w:val="auto"/>
        <w:rPr>
          <w:rFonts w:hint="eastAsia" w:ascii="宋体" w:hAnsi="宋体" w:eastAsia="宋体" w:cs="宋体"/>
          <w:b/>
          <w:sz w:val="44"/>
          <w:szCs w:val="44"/>
        </w:rPr>
        <w:sectPr>
          <w:footerReference r:id="rId3" w:type="default"/>
          <w:pgSz w:w="11906" w:h="16838"/>
          <w:pgMar w:top="4025" w:right="1474" w:bottom="1984" w:left="1587" w:header="851" w:footer="992" w:gutter="0"/>
          <w:paperSrc/>
          <w:pgNumType w:fmt="numberInDash"/>
          <w:cols w:space="0" w:num="1"/>
          <w:rtlGutter w:val="0"/>
          <w:docGrid w:type="lines" w:linePitch="318" w:charSpace="0"/>
        </w:sect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jc w:val="center"/>
        <w:textAlignment w:val="auto"/>
        <w:rPr>
          <w:rFonts w:hint="eastAsia" w:ascii="宋体" w:hAnsi="宋体" w:eastAsia="宋体" w:cs="宋体"/>
          <w:sz w:val="44"/>
          <w:szCs w:val="44"/>
        </w:rPr>
      </w:pPr>
      <w:r>
        <w:rPr>
          <w:rFonts w:hint="eastAsia" w:ascii="宋体" w:hAnsi="宋体" w:eastAsia="宋体" w:cs="宋体"/>
          <w:b/>
          <w:sz w:val="44"/>
          <w:szCs w:val="44"/>
        </w:rPr>
        <w:t>沈阳工学院2019年迎评促建工作安排</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教育部要求和学校总体工作安排，学校拟于2020年接受教育部本科教学合格评估（以下简称合格评估）。合格评估工作意义重大，能否顺利通过对学校至关重要。为进一步做好迎评促建工作，经学校研究，现将2019年工作安排如下：</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一、2019年迎评工作目标</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按照合格评估指标要求，全面做好2020年随时接受评估的各项准备。</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1.完成合格评估自评报告。在专家指导、多部门协作和多轮修改的基础上，形成合格评估自评报告，基本具备提交教育部的水平。</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2.确保各项指标基本合格。定量指标全部达标，定性指标解读清晰，内涵明确，支撑充分。指标涉及的各项知识概念清晰、含义明确。</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3.支撑材料基本完备规范。按照支撑材料要求，年底完成支撑材料整理归档工作，做到材料齐全、目录清晰，查找迅速，随时备查。</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4.学习宣传动员工作充分。通过各种形式、不同层面宣讲、学习、动员，使评估工作深入人心，对评估要求基本清晰、人人知晓、人人过关。</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二、具体工作任务</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全面落实学校迎接合格评估工作实施方案（沈工院发（2017）38号）要求，坚持“以评促建、以评促改、以评促管、评建结合、重在建设”的指导方针，统筹规划、分工落实，做好以下工作。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（一）材料数据工作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1.完成自评报告。上半年完成自评报告的一稿（初稿），在专家指导下，暑假期间进行修改、补充、完善后形成二稿。一稿二稿主要形成报告框架，通过撰写报告进一步梳理工作，发现问题，并进行建设和整改。</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建立支撑材料。在专家指导下，进一步明确材料数据要求，根据支撑材料目录，搜集、整理、归档支撑材料，形成材料目录，建立材料查找工作流程和机制；组织填报网上数据，并开展数据核查；初步形成评估专家案头材料。</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3.编制知识手册。清晰准确解读评估中涉及的重要思想、理念、模式等概念，形成科学、准确、统一的说法，汇编成册，供全校上下学习使用。</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（二）组织建设工作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1.成立自评报告撰写工作组</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组长：李康举</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副组长：公丕国</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成员：杨林、李华、赵林、梁爽、耿欣、周永昌、刘洋、陈勇、张玉明、姚勇</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具体工作职责包括：根据评估要求编制报告的撰写框架、确定报告的具体内容、形成依据报告的支撑材料目录、形成报告、审核修改报告等。</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2.成立督导专家工作组</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组长：李康举</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副组长：杨林</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成员：吕国皓、邵玉、李文国、刘艾秋、石伟、公丕国</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具体职责包括：根据评估要求形成若干督导任务、根据任务定期对相关部门开展检查督导、根据不同督导任务组织相关学习、宣传和培训等。</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3.成立数据材料工作组</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组长：李康举</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副组长：公丕国</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成员：有关专家及评估办工作人员。</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具体职责包括：组织完成网上数据填报、开展数据及材料的检查、组织开展评估知识的梳理、汇编和解读等工作。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（三）主要推进工作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1.召开系列专题会议</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评估办牵头、各工作组领导及相应职能部门召集有关部门召开专题会议，充分研讨在原有指标任务分解和支撑材料目录基础上，进一步明确各工作组分管指标的具体要求，由指标要求生成具体工作任务，使工作任务形成对指标的明确支撑，根据评估需要精准开展相关工作。同时要划重点、找难点，盯紧重点难点事项，攻坚克难，狠抓落实，抓出实效。</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会议的有效性，2019年3月底前各工作组提交针对指标的工作任务分解表，经相关专家领导审核，修改完善后提交会议讨论。4月份7个工作组分别召开专题会议，分别就具体工作任务进行研究讨论并最终确定，具体开会时间另行研究决定，根据内容，会议可合并召开。专题会议安排如下：</w:t>
      </w:r>
    </w:p>
    <w:tbl>
      <w:tblPr>
        <w:tblStyle w:val="10"/>
        <w:tblpPr w:leftFromText="180" w:rightFromText="180" w:vertAnchor="text" w:horzAnchor="page" w:tblpX="1342" w:tblpY="539"/>
        <w:tblOverlap w:val="never"/>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3141"/>
        <w:gridCol w:w="855"/>
        <w:gridCol w:w="163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549" w:type="dxa"/>
            <w:noWrap/>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会议名称</w:t>
            </w:r>
          </w:p>
        </w:tc>
        <w:tc>
          <w:tcPr>
            <w:tcW w:w="3141"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会议内容</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召集领导</w:t>
            </w:r>
          </w:p>
        </w:tc>
        <w:tc>
          <w:tcPr>
            <w:tcW w:w="163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召集部门</w:t>
            </w:r>
          </w:p>
        </w:tc>
        <w:tc>
          <w:tcPr>
            <w:tcW w:w="247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参会人员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49" w:type="dxa"/>
            <w:noWrap/>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办学指导思想</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专题会议</w:t>
            </w:r>
          </w:p>
        </w:tc>
        <w:tc>
          <w:tcPr>
            <w:tcW w:w="3141"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进一步明确和落实“办学思路与领导</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作用”指标的建设任务和迎评要求</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李康举</w:t>
            </w:r>
          </w:p>
        </w:tc>
        <w:tc>
          <w:tcPr>
            <w:tcW w:w="163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行政工作部</w:t>
            </w:r>
          </w:p>
        </w:tc>
        <w:tc>
          <w:tcPr>
            <w:tcW w:w="247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行政工作部、教学管理部、</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人力资源部、国际交流中心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1549" w:type="dxa"/>
            <w:noWrap/>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师资队伍建设</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专题会议</w:t>
            </w:r>
          </w:p>
        </w:tc>
        <w:tc>
          <w:tcPr>
            <w:tcW w:w="3141"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进一步明确和落实“教师队伍”</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指标的建设任务和迎评要求</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邵玉</w:t>
            </w:r>
          </w:p>
        </w:tc>
        <w:tc>
          <w:tcPr>
            <w:tcW w:w="163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人力资源部与教学</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促进与教师发展中心</w:t>
            </w:r>
          </w:p>
        </w:tc>
        <w:tc>
          <w:tcPr>
            <w:tcW w:w="247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教学管理部、学生工作部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49" w:type="dxa"/>
            <w:noWrap/>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教学条件与利用</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专题会议</w:t>
            </w:r>
          </w:p>
        </w:tc>
        <w:tc>
          <w:tcPr>
            <w:tcW w:w="3141"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进一步明确和落实“教学条件与利用”</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指标的建设任务和迎评要求</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刘艾秋</w:t>
            </w:r>
          </w:p>
        </w:tc>
        <w:tc>
          <w:tcPr>
            <w:tcW w:w="163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资产财务部</w:t>
            </w:r>
          </w:p>
        </w:tc>
        <w:tc>
          <w:tcPr>
            <w:tcW w:w="247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图书与档案馆、网络管理中心、</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教学管理部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49" w:type="dxa"/>
            <w:noWrap/>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校园基本建设</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专题会议</w:t>
            </w:r>
          </w:p>
        </w:tc>
        <w:tc>
          <w:tcPr>
            <w:tcW w:w="3141"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进一步明确和落实“校园基本建设”</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指标的建设任务和迎评要求</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石伟</w:t>
            </w:r>
          </w:p>
        </w:tc>
        <w:tc>
          <w:tcPr>
            <w:tcW w:w="163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后勤保障部</w:t>
            </w:r>
          </w:p>
        </w:tc>
        <w:tc>
          <w:tcPr>
            <w:tcW w:w="247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教学管理部、学生工作部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49" w:type="dxa"/>
            <w:noWrap/>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专业与课程建设</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专题会议</w:t>
            </w:r>
          </w:p>
        </w:tc>
        <w:tc>
          <w:tcPr>
            <w:tcW w:w="3141"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进一步明确和落实“专业与课程建设”</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指标的建设任务和迎评要求</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公丕国</w:t>
            </w:r>
          </w:p>
        </w:tc>
        <w:tc>
          <w:tcPr>
            <w:tcW w:w="163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教学管理部</w:t>
            </w:r>
          </w:p>
        </w:tc>
        <w:tc>
          <w:tcPr>
            <w:tcW w:w="247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人力资源部、学生工作部、</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国际交流中心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549" w:type="dxa"/>
            <w:noWrap/>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质量管理</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专题会议</w:t>
            </w:r>
          </w:p>
        </w:tc>
        <w:tc>
          <w:tcPr>
            <w:tcW w:w="3141"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进一步明确和落实“质量管理”</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指标的建设任务和迎评要求</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杨林</w:t>
            </w:r>
          </w:p>
        </w:tc>
        <w:tc>
          <w:tcPr>
            <w:tcW w:w="163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督导审计部</w:t>
            </w:r>
          </w:p>
        </w:tc>
        <w:tc>
          <w:tcPr>
            <w:tcW w:w="247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教学管理部、人力资源部、</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549" w:type="dxa"/>
            <w:noWrap/>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学风建设与质量</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评价专题会议</w:t>
            </w:r>
          </w:p>
        </w:tc>
        <w:tc>
          <w:tcPr>
            <w:tcW w:w="3141"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进一步明确和落实“学风建设与</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学生指导”和“教学质量”部分</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指标的建设任务和迎评要求</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李文国</w:t>
            </w:r>
          </w:p>
        </w:tc>
        <w:tc>
          <w:tcPr>
            <w:tcW w:w="163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学生工作部</w:t>
            </w:r>
          </w:p>
        </w:tc>
        <w:tc>
          <w:tcPr>
            <w:tcW w:w="2475" w:type="dxa"/>
            <w:noWrap w:val="0"/>
            <w:vAlign w:val="center"/>
          </w:tcPr>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rFonts w:hint="eastAsia"/>
                <w:sz w:val="18"/>
                <w:szCs w:val="18"/>
              </w:rPr>
            </w:pPr>
            <w:r>
              <w:rPr>
                <w:rFonts w:hint="eastAsia"/>
                <w:sz w:val="18"/>
                <w:szCs w:val="18"/>
              </w:rPr>
              <w:t>督导审计部、教学管理部、</w:t>
            </w:r>
          </w:p>
          <w:p>
            <w:pPr>
              <w:keepNext w:val="0"/>
              <w:keepLines w:val="0"/>
              <w:pageBreakBefore w:val="0"/>
              <w:kinsoku/>
              <w:wordWrap/>
              <w:overflowPunct/>
              <w:topLinePunct w:val="0"/>
              <w:autoSpaceDE/>
              <w:autoSpaceDN/>
              <w:bidi w:val="0"/>
              <w:adjustRightInd/>
              <w:snapToGrid/>
              <w:spacing w:line="240" w:lineRule="auto"/>
              <w:ind w:left="-210" w:leftChars="-100" w:right="-210" w:rightChars="-100"/>
              <w:jc w:val="center"/>
              <w:textAlignment w:val="auto"/>
              <w:rPr>
                <w:sz w:val="18"/>
                <w:szCs w:val="18"/>
              </w:rPr>
            </w:pPr>
            <w:r>
              <w:rPr>
                <w:rFonts w:hint="eastAsia"/>
                <w:sz w:val="18"/>
                <w:szCs w:val="18"/>
              </w:rPr>
              <w:t>招生就业部、图书与档案馆</w:t>
            </w:r>
          </w:p>
        </w:tc>
      </w:tr>
    </w:tbl>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2.形成具体工作任务推进表</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专题会议研讨结果基础上，由各工作组形成具体工作任务推进表，由评估办牵头汇总发布，作为各部门的工作指导和检查依据。工作任务要突出重点难点，注重点面结合，明确完成时间、完成要求，确保各项工作按时保质完成。工作任务推进表的具体格式要求如下表。</w:t>
      </w:r>
    </w:p>
    <w:tbl>
      <w:tblPr>
        <w:tblStyle w:val="10"/>
        <w:tblW w:w="9060" w:type="dxa"/>
        <w:jc w:val="center"/>
        <w:tblInd w:w="0" w:type="dxa"/>
        <w:tblLayout w:type="fixed"/>
        <w:tblCellMar>
          <w:top w:w="0" w:type="dxa"/>
          <w:left w:w="108" w:type="dxa"/>
          <w:bottom w:w="0" w:type="dxa"/>
          <w:right w:w="108" w:type="dxa"/>
        </w:tblCellMar>
      </w:tblPr>
      <w:tblGrid>
        <w:gridCol w:w="1024"/>
        <w:gridCol w:w="1023"/>
        <w:gridCol w:w="1025"/>
        <w:gridCol w:w="1023"/>
        <w:gridCol w:w="1459"/>
        <w:gridCol w:w="1459"/>
        <w:gridCol w:w="1023"/>
        <w:gridCol w:w="1024"/>
      </w:tblGrid>
      <w:tr>
        <w:tblPrEx>
          <w:tblLayout w:type="fixed"/>
          <w:tblCellMar>
            <w:top w:w="0" w:type="dxa"/>
            <w:left w:w="108" w:type="dxa"/>
            <w:bottom w:w="0" w:type="dxa"/>
            <w:right w:w="108" w:type="dxa"/>
          </w:tblCellMar>
        </w:tblPrEx>
        <w:trPr>
          <w:trHeight w:val="698" w:hRule="atLeast"/>
          <w:jc w:val="center"/>
        </w:trPr>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一级指标</w:t>
            </w:r>
          </w:p>
        </w:tc>
        <w:tc>
          <w:tcPr>
            <w:tcW w:w="10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二级指标</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观测点</w:t>
            </w:r>
          </w:p>
        </w:tc>
        <w:tc>
          <w:tcPr>
            <w:tcW w:w="10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基本要求</w:t>
            </w:r>
          </w:p>
        </w:tc>
        <w:tc>
          <w:tcPr>
            <w:tcW w:w="14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具体工作任务</w:t>
            </w:r>
          </w:p>
        </w:tc>
        <w:tc>
          <w:tcPr>
            <w:tcW w:w="14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完成要求</w:t>
            </w:r>
          </w:p>
        </w:tc>
        <w:tc>
          <w:tcPr>
            <w:tcW w:w="10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负责单位</w:t>
            </w:r>
          </w:p>
        </w:tc>
        <w:tc>
          <w:tcPr>
            <w:tcW w:w="102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完成时间</w:t>
            </w:r>
          </w:p>
        </w:tc>
      </w:tr>
      <w:tr>
        <w:tblPrEx>
          <w:tblLayout w:type="fixed"/>
          <w:tblCellMar>
            <w:top w:w="0" w:type="dxa"/>
            <w:left w:w="108" w:type="dxa"/>
            <w:bottom w:w="0" w:type="dxa"/>
            <w:right w:w="108" w:type="dxa"/>
          </w:tblCellMar>
        </w:tblPrEx>
        <w:trPr>
          <w:trHeight w:val="698" w:hRule="atLeast"/>
          <w:jc w:val="center"/>
        </w:trPr>
        <w:tc>
          <w:tcPr>
            <w:tcW w:w="10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4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4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108" w:type="dxa"/>
            <w:bottom w:w="0" w:type="dxa"/>
            <w:right w:w="108" w:type="dxa"/>
          </w:tblCellMar>
        </w:tblPrEx>
        <w:trPr>
          <w:trHeight w:val="721" w:hRule="atLeast"/>
          <w:jc w:val="center"/>
        </w:trPr>
        <w:tc>
          <w:tcPr>
            <w:tcW w:w="10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4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4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c>
          <w:tcPr>
            <w:tcW w:w="10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left"/>
              <w:textAlignment w:val="auto"/>
              <w:rPr>
                <w:rFonts w:ascii="宋体" w:hAnsi="宋体" w:cs="宋体"/>
                <w:color w:val="000000"/>
                <w:kern w:val="0"/>
                <w:sz w:val="15"/>
                <w:szCs w:val="15"/>
              </w:rPr>
            </w:pPr>
            <w:r>
              <w:rPr>
                <w:rFonts w:hint="eastAsia" w:ascii="宋体" w:hAnsi="宋体" w:cs="宋体"/>
                <w:color w:val="000000"/>
                <w:kern w:val="0"/>
                <w:sz w:val="15"/>
                <w:szCs w:val="15"/>
              </w:rPr>
              <w:t>　</w:t>
            </w:r>
          </w:p>
        </w:tc>
      </w:tr>
    </w:tbl>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3.完成报告，支撑材料归档，形成报告与支撑材料的对应关系</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半年完成自评报告一稿，在开展专项评审的基础上，在专家的指导下，经修改补充完善，下半年形成二稿，并能够提交教育厅进行审核。根据自评报告的支撑需要，进一步梳理和完善支撑材料，初步形成较为充分的支撑。</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4.开展系列培训及专项演练</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通过宣传、培训和动员，贯彻评估的各项要求，熟练掌握评估有关的各项知识、工作要求和规范；按照正式评估的形式开展专项演练和综合演练，让每个参与者都能够进入状态、形成常态。</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5.做好外围沟通协调工作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人专项负责做好外围的沟通协调工作。做好与教育部的沟通协调工作，落实评估时间、具体要求及相关安排；做好与相关重要专家的沟通工作，落实具体要求、接待、意见修改等工作；做好与省教育厅的沟通协调工作，获得相关的支持，落实省里的要求；做好数据填报工作，为评估提供充足的网上数据。</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三、工作进程安排</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各工作组根据各自任务，制定时间进程安排，学校主要迎评工作的时间安排为：</w:t>
      </w:r>
    </w:p>
    <w:tbl>
      <w:tblPr>
        <w:tblStyle w:val="10"/>
        <w:tblW w:w="9120" w:type="dxa"/>
        <w:jc w:val="center"/>
        <w:tblInd w:w="0" w:type="dxa"/>
        <w:tblLayout w:type="fixed"/>
        <w:tblCellMar>
          <w:top w:w="0" w:type="dxa"/>
          <w:left w:w="108" w:type="dxa"/>
          <w:bottom w:w="0" w:type="dxa"/>
          <w:right w:w="108" w:type="dxa"/>
        </w:tblCellMar>
      </w:tblPr>
      <w:tblGrid>
        <w:gridCol w:w="635"/>
        <w:gridCol w:w="1302"/>
        <w:gridCol w:w="3638"/>
        <w:gridCol w:w="2115"/>
        <w:gridCol w:w="1430"/>
      </w:tblGrid>
      <w:tr>
        <w:tblPrEx>
          <w:tblLayout w:type="fixed"/>
          <w:tblCellMar>
            <w:top w:w="0" w:type="dxa"/>
            <w:left w:w="108" w:type="dxa"/>
            <w:bottom w:w="0" w:type="dxa"/>
            <w:right w:w="108" w:type="dxa"/>
          </w:tblCellMar>
        </w:tblPrEx>
        <w:trPr>
          <w:trHeight w:val="514"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序号</w:t>
            </w:r>
          </w:p>
        </w:tc>
        <w:tc>
          <w:tcPr>
            <w:tcW w:w="130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任务大类</w:t>
            </w:r>
          </w:p>
        </w:tc>
        <w:tc>
          <w:tcPr>
            <w:tcW w:w="36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重点任务</w:t>
            </w:r>
          </w:p>
        </w:tc>
        <w:tc>
          <w:tcPr>
            <w:tcW w:w="21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完成时间</w:t>
            </w:r>
          </w:p>
        </w:tc>
        <w:tc>
          <w:tcPr>
            <w:tcW w:w="14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负责人或部门</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w:t>
            </w:r>
          </w:p>
        </w:tc>
        <w:tc>
          <w:tcPr>
            <w:tcW w:w="1302"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针对指标的进</w:t>
            </w:r>
          </w:p>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一步任务推进</w:t>
            </w: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完成针对指标的任务推进表初稿</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3月底前完成</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有关专家</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2</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任务推进专题会议</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4月20日前完成</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各工作组</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3</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推进任务的汇总发布</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五一前完成</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评估办</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4</w:t>
            </w:r>
          </w:p>
        </w:tc>
        <w:tc>
          <w:tcPr>
            <w:tcW w:w="1302"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自评报告</w:t>
            </w: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自评报告初稿</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五一后完成</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公丕国</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5</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自评报告二稿</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暑假</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公丕国</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6</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自评报告三稿</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寒假</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公丕国</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7</w:t>
            </w:r>
          </w:p>
        </w:tc>
        <w:tc>
          <w:tcPr>
            <w:tcW w:w="1302"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检查评估</w:t>
            </w: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校外专家的各专项评审</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上半年</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评估办</w:t>
            </w:r>
          </w:p>
        </w:tc>
      </w:tr>
      <w:tr>
        <w:tblPrEx>
          <w:tblLayout w:type="fixed"/>
          <w:tblCellMar>
            <w:top w:w="0" w:type="dxa"/>
            <w:left w:w="108" w:type="dxa"/>
            <w:bottom w:w="0" w:type="dxa"/>
            <w:right w:w="108" w:type="dxa"/>
          </w:tblCellMar>
        </w:tblPrEx>
        <w:trPr>
          <w:trHeight w:val="999"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8</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任务分解完成情况督查（含任务</w:t>
            </w:r>
          </w:p>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完成及材料归档情况）</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6月、9月、</w:t>
            </w:r>
          </w:p>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12月底三次</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李康举</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9</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诊断评估</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11月</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李康举</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10</w:t>
            </w:r>
          </w:p>
        </w:tc>
        <w:tc>
          <w:tcPr>
            <w:tcW w:w="1302"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迎评会议及</w:t>
            </w:r>
          </w:p>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材料数据</w:t>
            </w: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迎评攻坚一次会议</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7月中旬，暑假前</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李康举</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11</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攻坚第一轮材料准备和整改</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暑假</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各单位</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12</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迎评工作系列培训及专项演练</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暑假</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评估办</w:t>
            </w:r>
          </w:p>
        </w:tc>
      </w:tr>
      <w:tr>
        <w:tblPrEx>
          <w:tblLayout w:type="fixed"/>
          <w:tblCellMar>
            <w:top w:w="0" w:type="dxa"/>
            <w:left w:w="108" w:type="dxa"/>
            <w:bottom w:w="0" w:type="dxa"/>
            <w:right w:w="108" w:type="dxa"/>
          </w:tblCellMar>
        </w:tblPrEx>
        <w:trPr>
          <w:trHeight w:val="1973"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13</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七说汇报会（校长说学校、部长说</w:t>
            </w:r>
          </w:p>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部门、院长说学院、教学院长说管理、</w:t>
            </w:r>
          </w:p>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专业负责人说专业、教师说课程、</w:t>
            </w:r>
          </w:p>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学生说学习）</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暑假</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hint="eastAsia" w:ascii="宋体" w:hAnsi="宋体" w:cs="宋体"/>
                <w:color w:val="000000"/>
                <w:kern w:val="0"/>
                <w:szCs w:val="21"/>
              </w:rPr>
            </w:pPr>
            <w:r>
              <w:rPr>
                <w:rFonts w:hint="eastAsia" w:ascii="宋体" w:hAnsi="宋体" w:cs="宋体"/>
                <w:color w:val="000000"/>
                <w:kern w:val="0"/>
                <w:szCs w:val="21"/>
              </w:rPr>
              <w:t>领导小组相关</w:t>
            </w:r>
          </w:p>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领导</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14</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迎评攻坚二次会议</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1月中旬，寒假前</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李康举</w:t>
            </w:r>
          </w:p>
        </w:tc>
      </w:tr>
      <w:tr>
        <w:tblPrEx>
          <w:tblLayout w:type="fixed"/>
          <w:tblCellMar>
            <w:top w:w="0" w:type="dxa"/>
            <w:left w:w="108" w:type="dxa"/>
            <w:bottom w:w="0" w:type="dxa"/>
            <w:right w:w="108" w:type="dxa"/>
          </w:tblCellMar>
        </w:tblPrEx>
        <w:trPr>
          <w:trHeight w:val="514"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15</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攻坚第二轮材料准备和整改</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寒假</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评估办</w:t>
            </w:r>
          </w:p>
        </w:tc>
      </w:tr>
      <w:tr>
        <w:tblPrEx>
          <w:tblLayout w:type="fixed"/>
          <w:tblCellMar>
            <w:top w:w="0" w:type="dxa"/>
            <w:left w:w="108" w:type="dxa"/>
            <w:bottom w:w="0" w:type="dxa"/>
            <w:right w:w="108" w:type="dxa"/>
          </w:tblCellMar>
        </w:tblPrEx>
        <w:trPr>
          <w:trHeight w:val="542" w:hRule="atLeast"/>
          <w:jc w:val="center"/>
        </w:trPr>
        <w:tc>
          <w:tcPr>
            <w:tcW w:w="63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ascii="宋体" w:hAnsi="宋体" w:cs="宋体"/>
                <w:color w:val="000000"/>
                <w:kern w:val="0"/>
                <w:szCs w:val="21"/>
              </w:rPr>
              <w:t>16</w:t>
            </w:r>
          </w:p>
        </w:tc>
        <w:tc>
          <w:tcPr>
            <w:tcW w:w="130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p>
        </w:tc>
        <w:tc>
          <w:tcPr>
            <w:tcW w:w="36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迎评数据填报</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根据评估时间要求</w:t>
            </w:r>
          </w:p>
        </w:tc>
        <w:tc>
          <w:tcPr>
            <w:tcW w:w="14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210" w:leftChars="-100" w:right="-210" w:rightChars="-100"/>
              <w:jc w:val="center"/>
              <w:textAlignment w:val="auto"/>
              <w:rPr>
                <w:rFonts w:ascii="宋体" w:hAnsi="宋体" w:cs="宋体"/>
                <w:color w:val="000000"/>
                <w:kern w:val="0"/>
                <w:szCs w:val="21"/>
              </w:rPr>
            </w:pPr>
            <w:r>
              <w:rPr>
                <w:rFonts w:hint="eastAsia" w:ascii="宋体" w:hAnsi="宋体" w:cs="宋体"/>
                <w:color w:val="000000"/>
                <w:kern w:val="0"/>
                <w:szCs w:val="21"/>
              </w:rPr>
              <w:t>公丕国</w:t>
            </w:r>
          </w:p>
        </w:tc>
      </w:tr>
    </w:tbl>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四、相关要求和具体保障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提高认识。合格评估是对本科教育提出的约束性要求，是新建本科院校持续发展的保证，更是影响学校前途命运的大事，是影响学校办学质量的大事，必须抓好，确保顺利通过。应该看到，学校在发展过程中积累了较好的办学条件、资源和成果，一年多来的准备工作已经打下了良好的基础，但迎评工作是一项全员性、系统性、艰苦的工作，需要全校上下提高认识、高度重视，既要不忘初心继续奋斗，又要保持定力真抓实干，既要充满自信，又不能盲目乐观。</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强化职责。康举院长在报告中说过，“全校教职工要把评估的指标体系转化为自己的工作标准，做每一项工作都要考虑到评估的要求”。合格评估的核心内涵是“四促进、三基本、两突出、一引导”，指导方针是“以评促建、以评促改、以评促管、评建结合、重在建设”。迎评工作人人有责 ，但职能部门尤其关键，职能部门既是重要的管理部门，又是主要的工作组成员。职能部门具有引领职能、服务职能、管理职能，要坚持“建改管”的工作方针就要充分发挥“管引服”职能。当前要着力发挥引领作用，引领作用不够，结果就是建无方向、改不彻底、管不到位。</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浓厚氛围。合格评估不是局部性的考核，是全局性的、全员性的、全程性的一次检验。全校上下要加强学习、培训、宣传，打通评估最后一公里，真正形成上下一致、齐心协力、同频共振的迎评氛围。2019年要认真做好“七说”工作（校长说学校、部长说部门、院长说学院、教学院长说管理、专业负责人说专业、教师说课程、学生说学习），广泛开展五讲活动（校级领导要讲，在分管领域和工作中面向全校讲；各职能部门要讲，在管理职责范围和工作会议上讲；专家团队要讲，专家要精准对接部门和单位，面向对象讲；各学院要讲，要在全院大会、专题会面向全院职工讲；各教研室要讲，要把合格评估的各项工作要求和工作任务作为教研室活动的重要内容突出抓好），真正做到人人关心重视熟悉评估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4.盯住指标。各工作组、各职能部门要紧紧盯住评估指标的要求，把指标要求作为相关工作的目标，充分融入部门工作计划中，制定时间表、路线图，全力确保按时完成。</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突出建设。“以评促建”、“重在建设”是合格评估的重要指导方针；评估报告是干出来的，进一步说是建出来的，没有脚踏实地的建设，办学就会缺少内涵，机体就会空虚疲软，将来材料就靠堆砌编造。因此，尽管时间很紧，我们仍要把主要精力放在建设上，特别是各职能部门和二级学院，要按照职责去建设。边建边整理，建好了成果自然就出来了，否则，空谈误校！</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抓住重点。以问题为导向，突出抓好评估中排名前十不合格指标完成情况。另外，与定量指标相比，定性指标比较抽象，容易忽略。要高度重视定性评价的指标，确保指标理解透彻、建设任务明确、支撑材料充分。</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7.强化督导。以合格评估为导向，建立年度部门考核指标体系，年底开展评估导向的绩效考核工作。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8.经费保障。学校已经设立迎评专项经费，专项支持迎评工作。各学院经费都要围绕评估花在与教学有关的事项上。</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9.机制保障。强化工作组职能，发挥好工作组在横向上的沟通、纵向上的引领服务管理职能；建立完善主管领导、职能部门、相关单位纵向三级直线职能工作机制；成立迎评督导工作组，建立起运行加督导机制。</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10.人员保障。除现有的工作人员外，根据评估要求将随时抽调、借调迎评工作人员，各相关单位和部门要确保相关人员全力投入迎评工作。</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sz w:val="24"/>
          <w:szCs w:val="24"/>
        </w:rPr>
      </w:pPr>
      <w:r>
        <w:rPr>
          <w:rFonts w:hint="eastAsia" w:ascii="仿宋" w:hAnsi="仿宋" w:eastAsia="仿宋" w:cs="仿宋"/>
          <w:sz w:val="32"/>
          <w:szCs w:val="32"/>
        </w:rPr>
        <w:t>我校迎评工作启动早、行动快、基础好，对打赢评估合格的战斗我们有充足的信心！当然也应该清楚地认识到，面对合格评估的要求，我们还要乘胜追击、加倍努力、迎难而上！全校上下务必统一思想、凝心聚力、真抓实干，坚决打赢2019年迎评攻坚战。</w:t>
      </w:r>
      <w:r>
        <w:rPr>
          <w:rFonts w:hint="eastAsia"/>
          <w:sz w:val="24"/>
          <w:szCs w:val="24"/>
        </w:rPr>
        <w:t xml:space="preserve">  </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480" w:firstLineChars="200"/>
        <w:textAlignment w:val="auto"/>
        <w:rPr>
          <w:rFonts w:hint="eastAsia"/>
          <w:sz w:val="24"/>
          <w:szCs w:val="24"/>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firstLine="480" w:firstLineChars="200"/>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jc w:val="both"/>
        <w:textAlignment w:val="auto"/>
        <w:outlineLvl w:val="9"/>
        <w:rPr>
          <w:rFonts w:hint="default" w:ascii="黑体" w:hAnsi="黑体" w:eastAsia="黑体" w:cs="黑体"/>
          <w:sz w:val="28"/>
          <w:szCs w:val="28"/>
          <w:u w:val="single"/>
          <w:shd w:val="clear" w:color="auto" w:fill="FFFFFF"/>
          <w:lang w:val="en-US" w:eastAsia="zh-CN"/>
        </w:rPr>
      </w:pPr>
      <w:r>
        <w:rPr>
          <w:rFonts w:hint="eastAsia" w:ascii="黑体" w:hAnsi="黑体" w:eastAsia="黑体" w:cs="黑体"/>
          <w:sz w:val="28"/>
          <w:szCs w:val="28"/>
          <w:u w:val="singl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jc w:val="both"/>
        <w:textAlignment w:val="auto"/>
        <w:outlineLvl w:val="9"/>
        <w:rPr>
          <w:rFonts w:hint="eastAsia" w:ascii="仿宋_GB2312" w:hAnsi="宋体" w:eastAsia="仿宋_GB2312"/>
          <w:kern w:val="0"/>
          <w:sz w:val="28"/>
          <w:szCs w:val="28"/>
        </w:rPr>
      </w:pP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沈阳工学院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201</w:t>
      </w:r>
      <w:r>
        <w:rPr>
          <w:rFonts w:hint="eastAsia" w:ascii="仿宋_GB2312" w:eastAsia="仿宋_GB2312"/>
          <w:sz w:val="28"/>
          <w:szCs w:val="28"/>
          <w:u w:val="single"/>
          <w:lang w:val="en-US" w:eastAsia="zh-CN"/>
        </w:rPr>
        <w:t>8</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3</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20</w:t>
      </w:r>
      <w:r>
        <w:rPr>
          <w:rFonts w:hint="eastAsia" w:ascii="仿宋_GB2312" w:eastAsia="仿宋_GB2312"/>
          <w:sz w:val="28"/>
          <w:szCs w:val="28"/>
          <w:u w:val="single"/>
        </w:rPr>
        <w:t>日印</w:t>
      </w:r>
      <w:r>
        <w:rPr>
          <w:rFonts w:hint="eastAsia" w:ascii="仿宋_GB2312" w:eastAsia="仿宋_GB2312"/>
          <w:sz w:val="28"/>
          <w:szCs w:val="28"/>
          <w:u w:val="single"/>
          <w:lang w:eastAsia="zh-CN"/>
        </w:rPr>
        <w:t>发</w:t>
      </w:r>
      <w:r>
        <w:rPr>
          <w:rFonts w:hint="eastAsia" w:ascii="仿宋_GB2312" w:eastAsia="仿宋_GB2312"/>
          <w:sz w:val="28"/>
          <w:szCs w:val="28"/>
          <w:u w:val="single"/>
          <w:lang w:val="en-US" w:eastAsia="zh-CN"/>
        </w:rPr>
        <w:t xml:space="preserve">  </w:t>
      </w:r>
    </w:p>
    <w:sectPr>
      <w:pgSz w:w="11906" w:h="16838"/>
      <w:pgMar w:top="2098" w:right="1474" w:bottom="1984" w:left="1587" w:header="851" w:footer="992"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9E23FC"/>
    <w:rsid w:val="00065B10"/>
    <w:rsid w:val="000B129B"/>
    <w:rsid w:val="000F155A"/>
    <w:rsid w:val="000F2A0F"/>
    <w:rsid w:val="00105C15"/>
    <w:rsid w:val="0018547E"/>
    <w:rsid w:val="001B55B8"/>
    <w:rsid w:val="00244946"/>
    <w:rsid w:val="00254EE3"/>
    <w:rsid w:val="002874C4"/>
    <w:rsid w:val="002A1324"/>
    <w:rsid w:val="002A5C9A"/>
    <w:rsid w:val="002B4ECA"/>
    <w:rsid w:val="002B7844"/>
    <w:rsid w:val="003250CC"/>
    <w:rsid w:val="003F189F"/>
    <w:rsid w:val="003F18F6"/>
    <w:rsid w:val="004225FE"/>
    <w:rsid w:val="004317F3"/>
    <w:rsid w:val="00452D29"/>
    <w:rsid w:val="004C74B1"/>
    <w:rsid w:val="005B0784"/>
    <w:rsid w:val="005C182C"/>
    <w:rsid w:val="005E0D6D"/>
    <w:rsid w:val="005E1429"/>
    <w:rsid w:val="0068620F"/>
    <w:rsid w:val="006D0D69"/>
    <w:rsid w:val="006E6E6C"/>
    <w:rsid w:val="00706798"/>
    <w:rsid w:val="0076486A"/>
    <w:rsid w:val="00770B64"/>
    <w:rsid w:val="00782E17"/>
    <w:rsid w:val="007E0CD7"/>
    <w:rsid w:val="008A044F"/>
    <w:rsid w:val="008B2878"/>
    <w:rsid w:val="00947AD9"/>
    <w:rsid w:val="00A5325B"/>
    <w:rsid w:val="00AB6225"/>
    <w:rsid w:val="00AB6A69"/>
    <w:rsid w:val="00B317F1"/>
    <w:rsid w:val="00BD3239"/>
    <w:rsid w:val="00C565AF"/>
    <w:rsid w:val="00C67E7E"/>
    <w:rsid w:val="00CB396F"/>
    <w:rsid w:val="00CC0EC9"/>
    <w:rsid w:val="00CD09C4"/>
    <w:rsid w:val="00D65F6E"/>
    <w:rsid w:val="00DA0281"/>
    <w:rsid w:val="00E53DE8"/>
    <w:rsid w:val="00ED651D"/>
    <w:rsid w:val="00F66DF5"/>
    <w:rsid w:val="01492381"/>
    <w:rsid w:val="0250198D"/>
    <w:rsid w:val="029251C6"/>
    <w:rsid w:val="034638D2"/>
    <w:rsid w:val="03640941"/>
    <w:rsid w:val="03941B4D"/>
    <w:rsid w:val="041C706B"/>
    <w:rsid w:val="05054CE9"/>
    <w:rsid w:val="06463E62"/>
    <w:rsid w:val="06525C22"/>
    <w:rsid w:val="06A833CE"/>
    <w:rsid w:val="06AB5D5A"/>
    <w:rsid w:val="06AE255B"/>
    <w:rsid w:val="06B81734"/>
    <w:rsid w:val="07E7372C"/>
    <w:rsid w:val="081A2B80"/>
    <w:rsid w:val="09A02133"/>
    <w:rsid w:val="0A182605"/>
    <w:rsid w:val="0B9822E1"/>
    <w:rsid w:val="0BD00E70"/>
    <w:rsid w:val="0BF74B1E"/>
    <w:rsid w:val="0C165B64"/>
    <w:rsid w:val="0C2B0B46"/>
    <w:rsid w:val="0C3A6BF1"/>
    <w:rsid w:val="0C633C0D"/>
    <w:rsid w:val="0CA45DD3"/>
    <w:rsid w:val="0D0845DF"/>
    <w:rsid w:val="0D4E5500"/>
    <w:rsid w:val="0D4E6AD0"/>
    <w:rsid w:val="0EA03753"/>
    <w:rsid w:val="0ED92686"/>
    <w:rsid w:val="0F154FFC"/>
    <w:rsid w:val="0F2C35B2"/>
    <w:rsid w:val="102319B7"/>
    <w:rsid w:val="106437F5"/>
    <w:rsid w:val="10A03A63"/>
    <w:rsid w:val="110E1990"/>
    <w:rsid w:val="114A3EDE"/>
    <w:rsid w:val="1189364E"/>
    <w:rsid w:val="11BA7825"/>
    <w:rsid w:val="11E55D99"/>
    <w:rsid w:val="12011F93"/>
    <w:rsid w:val="12F5003F"/>
    <w:rsid w:val="132E0C79"/>
    <w:rsid w:val="138B138A"/>
    <w:rsid w:val="13C0355E"/>
    <w:rsid w:val="14343220"/>
    <w:rsid w:val="1511618A"/>
    <w:rsid w:val="155041B1"/>
    <w:rsid w:val="15F678AF"/>
    <w:rsid w:val="162D1CBA"/>
    <w:rsid w:val="174521DA"/>
    <w:rsid w:val="176B7CC8"/>
    <w:rsid w:val="17E83FFE"/>
    <w:rsid w:val="19426974"/>
    <w:rsid w:val="19BA4094"/>
    <w:rsid w:val="1A1D4832"/>
    <w:rsid w:val="1BFC0802"/>
    <w:rsid w:val="1C0472ED"/>
    <w:rsid w:val="1C727D62"/>
    <w:rsid w:val="1CC40160"/>
    <w:rsid w:val="1CCD2E87"/>
    <w:rsid w:val="1D011517"/>
    <w:rsid w:val="1D5B053C"/>
    <w:rsid w:val="1DBF4B64"/>
    <w:rsid w:val="1E276942"/>
    <w:rsid w:val="1EB12706"/>
    <w:rsid w:val="1F93114D"/>
    <w:rsid w:val="1FC15A1C"/>
    <w:rsid w:val="20161003"/>
    <w:rsid w:val="208E7F7D"/>
    <w:rsid w:val="20AF0069"/>
    <w:rsid w:val="2152308D"/>
    <w:rsid w:val="216B2686"/>
    <w:rsid w:val="21E11DF2"/>
    <w:rsid w:val="224B36F6"/>
    <w:rsid w:val="22BB6A0B"/>
    <w:rsid w:val="2373454D"/>
    <w:rsid w:val="23AF73E7"/>
    <w:rsid w:val="23C07116"/>
    <w:rsid w:val="24603CB6"/>
    <w:rsid w:val="24A95401"/>
    <w:rsid w:val="24C56DBE"/>
    <w:rsid w:val="24F91D16"/>
    <w:rsid w:val="25981C58"/>
    <w:rsid w:val="265A4FE2"/>
    <w:rsid w:val="26D709B5"/>
    <w:rsid w:val="284A23E9"/>
    <w:rsid w:val="293A7C20"/>
    <w:rsid w:val="29550DFF"/>
    <w:rsid w:val="2AA73742"/>
    <w:rsid w:val="2AC4755F"/>
    <w:rsid w:val="2AE32D25"/>
    <w:rsid w:val="2B172B10"/>
    <w:rsid w:val="2B822EC8"/>
    <w:rsid w:val="2BDA2E64"/>
    <w:rsid w:val="2BEC12BB"/>
    <w:rsid w:val="2C3B0C69"/>
    <w:rsid w:val="2C894FDD"/>
    <w:rsid w:val="2D3C12B5"/>
    <w:rsid w:val="2D715045"/>
    <w:rsid w:val="2D8F42AE"/>
    <w:rsid w:val="2E6022C7"/>
    <w:rsid w:val="2ECC0508"/>
    <w:rsid w:val="30C93B59"/>
    <w:rsid w:val="30D74DE7"/>
    <w:rsid w:val="310C4B35"/>
    <w:rsid w:val="31160922"/>
    <w:rsid w:val="31407423"/>
    <w:rsid w:val="31513CAC"/>
    <w:rsid w:val="319A5A3A"/>
    <w:rsid w:val="324B2EE4"/>
    <w:rsid w:val="32C5135F"/>
    <w:rsid w:val="33193C12"/>
    <w:rsid w:val="336F69BD"/>
    <w:rsid w:val="33AB671E"/>
    <w:rsid w:val="33DA06D8"/>
    <w:rsid w:val="3479495F"/>
    <w:rsid w:val="34E16584"/>
    <w:rsid w:val="352A6898"/>
    <w:rsid w:val="36493B92"/>
    <w:rsid w:val="36C67B9F"/>
    <w:rsid w:val="370F5336"/>
    <w:rsid w:val="38B842BC"/>
    <w:rsid w:val="391A31C7"/>
    <w:rsid w:val="393B3B2D"/>
    <w:rsid w:val="393C330C"/>
    <w:rsid w:val="393D31D0"/>
    <w:rsid w:val="3A060D8F"/>
    <w:rsid w:val="3A6A4367"/>
    <w:rsid w:val="3A9E0B75"/>
    <w:rsid w:val="3B5A6856"/>
    <w:rsid w:val="3B887E8D"/>
    <w:rsid w:val="3CBD0818"/>
    <w:rsid w:val="3DDE03EC"/>
    <w:rsid w:val="3E29439C"/>
    <w:rsid w:val="3E4A23E6"/>
    <w:rsid w:val="3FE0503F"/>
    <w:rsid w:val="40357B09"/>
    <w:rsid w:val="40A0473A"/>
    <w:rsid w:val="40A15D1D"/>
    <w:rsid w:val="41601A22"/>
    <w:rsid w:val="4259143F"/>
    <w:rsid w:val="433A76FB"/>
    <w:rsid w:val="43F4751D"/>
    <w:rsid w:val="440405BF"/>
    <w:rsid w:val="44424533"/>
    <w:rsid w:val="447B6B3E"/>
    <w:rsid w:val="44873E70"/>
    <w:rsid w:val="44A92166"/>
    <w:rsid w:val="44CD026A"/>
    <w:rsid w:val="451B6D39"/>
    <w:rsid w:val="45801596"/>
    <w:rsid w:val="46CE26AB"/>
    <w:rsid w:val="47294E68"/>
    <w:rsid w:val="477B1853"/>
    <w:rsid w:val="47CC2909"/>
    <w:rsid w:val="488E5077"/>
    <w:rsid w:val="48C329E9"/>
    <w:rsid w:val="48F50D80"/>
    <w:rsid w:val="491C1252"/>
    <w:rsid w:val="49A453A7"/>
    <w:rsid w:val="4A6502A7"/>
    <w:rsid w:val="4A865D35"/>
    <w:rsid w:val="4ACD6B16"/>
    <w:rsid w:val="4BB076C9"/>
    <w:rsid w:val="4C25232D"/>
    <w:rsid w:val="4C6302C0"/>
    <w:rsid w:val="4D5D1157"/>
    <w:rsid w:val="4D6463DA"/>
    <w:rsid w:val="4E485517"/>
    <w:rsid w:val="4FBF0652"/>
    <w:rsid w:val="50997CD9"/>
    <w:rsid w:val="50B64D8F"/>
    <w:rsid w:val="50C22C8D"/>
    <w:rsid w:val="50D244F0"/>
    <w:rsid w:val="511B6838"/>
    <w:rsid w:val="51481795"/>
    <w:rsid w:val="514E46E6"/>
    <w:rsid w:val="51C15B5A"/>
    <w:rsid w:val="51D13769"/>
    <w:rsid w:val="526128CA"/>
    <w:rsid w:val="5280030D"/>
    <w:rsid w:val="53331FA8"/>
    <w:rsid w:val="53583978"/>
    <w:rsid w:val="53CB1BB4"/>
    <w:rsid w:val="54075066"/>
    <w:rsid w:val="55230A1C"/>
    <w:rsid w:val="557C41C6"/>
    <w:rsid w:val="564F7128"/>
    <w:rsid w:val="56603EF1"/>
    <w:rsid w:val="56F959A7"/>
    <w:rsid w:val="57E75C90"/>
    <w:rsid w:val="57EE0150"/>
    <w:rsid w:val="57FF48BC"/>
    <w:rsid w:val="580222D7"/>
    <w:rsid w:val="582F5A25"/>
    <w:rsid w:val="585D2B9E"/>
    <w:rsid w:val="587A7B02"/>
    <w:rsid w:val="58E0059B"/>
    <w:rsid w:val="59785062"/>
    <w:rsid w:val="59BB1925"/>
    <w:rsid w:val="5A4706BA"/>
    <w:rsid w:val="5A7C0008"/>
    <w:rsid w:val="5B3E78D4"/>
    <w:rsid w:val="5B684037"/>
    <w:rsid w:val="5C20793E"/>
    <w:rsid w:val="5CB535C8"/>
    <w:rsid w:val="5DB87E85"/>
    <w:rsid w:val="5DE2337E"/>
    <w:rsid w:val="5E3C284E"/>
    <w:rsid w:val="5E8835A9"/>
    <w:rsid w:val="5F8C54D0"/>
    <w:rsid w:val="5F943E3D"/>
    <w:rsid w:val="5FAE6564"/>
    <w:rsid w:val="5FC85ADB"/>
    <w:rsid w:val="5FF35296"/>
    <w:rsid w:val="60536D8B"/>
    <w:rsid w:val="609F2412"/>
    <w:rsid w:val="61770013"/>
    <w:rsid w:val="6182429E"/>
    <w:rsid w:val="61AD175D"/>
    <w:rsid w:val="61B5516F"/>
    <w:rsid w:val="626304C3"/>
    <w:rsid w:val="63F66538"/>
    <w:rsid w:val="6499136C"/>
    <w:rsid w:val="65060133"/>
    <w:rsid w:val="658F4645"/>
    <w:rsid w:val="669D23B8"/>
    <w:rsid w:val="66AB1491"/>
    <w:rsid w:val="676D14CF"/>
    <w:rsid w:val="67CB00EF"/>
    <w:rsid w:val="6B0E5EC6"/>
    <w:rsid w:val="6B234A7F"/>
    <w:rsid w:val="6B9A3A8E"/>
    <w:rsid w:val="6C897C34"/>
    <w:rsid w:val="6CA316AE"/>
    <w:rsid w:val="6CA50669"/>
    <w:rsid w:val="6CFB760D"/>
    <w:rsid w:val="6D9544CE"/>
    <w:rsid w:val="6D9E0640"/>
    <w:rsid w:val="6D9E3714"/>
    <w:rsid w:val="6E7F7F59"/>
    <w:rsid w:val="6E867DC2"/>
    <w:rsid w:val="6F122560"/>
    <w:rsid w:val="6F79399B"/>
    <w:rsid w:val="6FAE3EE3"/>
    <w:rsid w:val="6FC42213"/>
    <w:rsid w:val="705E0822"/>
    <w:rsid w:val="70B71940"/>
    <w:rsid w:val="71EB4918"/>
    <w:rsid w:val="72162D2E"/>
    <w:rsid w:val="72B5329D"/>
    <w:rsid w:val="72E2088A"/>
    <w:rsid w:val="73157D76"/>
    <w:rsid w:val="739A460D"/>
    <w:rsid w:val="75D43725"/>
    <w:rsid w:val="76115815"/>
    <w:rsid w:val="78B17EB2"/>
    <w:rsid w:val="79216D7A"/>
    <w:rsid w:val="79F13EE6"/>
    <w:rsid w:val="7A9E23FC"/>
    <w:rsid w:val="7B6110E0"/>
    <w:rsid w:val="7C171C1F"/>
    <w:rsid w:val="7C614A7F"/>
    <w:rsid w:val="7D3522BC"/>
    <w:rsid w:val="7D576D05"/>
    <w:rsid w:val="7DCF0B01"/>
    <w:rsid w:val="7E7D51C8"/>
    <w:rsid w:val="7EC75E46"/>
    <w:rsid w:val="7F2A0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ody Text"/>
    <w:basedOn w:val="1"/>
    <w:qFormat/>
    <w:uiPriority w:val="0"/>
    <w:pPr>
      <w:spacing w:line="360" w:lineRule="auto"/>
    </w:pPr>
    <w:rPr>
      <w:color w:val="FF0000"/>
      <w:spacing w:val="30"/>
      <w:sz w:val="60"/>
      <w:szCs w:val="20"/>
    </w:rPr>
  </w:style>
  <w:style w:type="paragraph" w:styleId="4">
    <w:name w:val="Body Text Indent 2"/>
    <w:basedOn w:val="1"/>
    <w:qFormat/>
    <w:uiPriority w:val="0"/>
    <w:pPr>
      <w:spacing w:after="120" w:line="480" w:lineRule="auto"/>
      <w:ind w:left="420"/>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2"/>
    <w:next w:val="2"/>
    <w:link w:val="15"/>
    <w:qFormat/>
    <w:uiPriority w:val="0"/>
    <w:rPr>
      <w:b/>
      <w:bCs/>
    </w:rPr>
  </w:style>
  <w:style w:type="character" w:styleId="12">
    <w:name w:val="Hyperlink"/>
    <w:basedOn w:val="11"/>
    <w:qFormat/>
    <w:uiPriority w:val="0"/>
    <w:rPr>
      <w:color w:val="0000FF"/>
      <w:u w:val="single"/>
    </w:rPr>
  </w:style>
  <w:style w:type="character" w:styleId="13">
    <w:name w:val="annotation reference"/>
    <w:basedOn w:val="11"/>
    <w:qFormat/>
    <w:uiPriority w:val="0"/>
    <w:rPr>
      <w:sz w:val="21"/>
      <w:szCs w:val="21"/>
    </w:rPr>
  </w:style>
  <w:style w:type="character" w:customStyle="1" w:styleId="14">
    <w:name w:val="批注文字 Char"/>
    <w:basedOn w:val="11"/>
    <w:link w:val="2"/>
    <w:qFormat/>
    <w:uiPriority w:val="0"/>
    <w:rPr>
      <w:rFonts w:asciiTheme="minorHAnsi" w:hAnsiTheme="minorHAnsi" w:eastAsiaTheme="minorEastAsia" w:cstheme="minorBidi"/>
      <w:kern w:val="2"/>
      <w:sz w:val="21"/>
      <w:szCs w:val="22"/>
    </w:rPr>
  </w:style>
  <w:style w:type="character" w:customStyle="1" w:styleId="15">
    <w:name w:val="批注主题 Char"/>
    <w:basedOn w:val="14"/>
    <w:link w:val="9"/>
    <w:qFormat/>
    <w:uiPriority w:val="0"/>
    <w:rPr>
      <w:b/>
      <w:bCs/>
    </w:rPr>
  </w:style>
  <w:style w:type="character" w:customStyle="1" w:styleId="16">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7">
    <w:name w:val="正文文本 (2)_"/>
    <w:basedOn w:val="11"/>
    <w:link w:val="18"/>
    <w:qFormat/>
    <w:uiPriority w:val="0"/>
    <w:rPr>
      <w:rFonts w:ascii="Calibri" w:hAnsi="Calibri" w:eastAsia="宋体"/>
      <w:sz w:val="12"/>
      <w:szCs w:val="12"/>
    </w:rPr>
  </w:style>
  <w:style w:type="paragraph" w:customStyle="1" w:styleId="18">
    <w:name w:val="正文文本 (2)1"/>
    <w:basedOn w:val="1"/>
    <w:link w:val="17"/>
    <w:qFormat/>
    <w:uiPriority w:val="0"/>
    <w:pPr>
      <w:shd w:val="clear" w:color="auto" w:fill="FFFFFF"/>
      <w:spacing w:before="360" w:line="256" w:lineRule="exact"/>
      <w:jc w:val="distribute"/>
    </w:pPr>
    <w:rPr>
      <w:rFonts w:ascii="Calibri" w:hAnsi="Calibri" w:eastAsia="宋体"/>
      <w:sz w:val="12"/>
      <w:szCs w:val="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651</Words>
  <Characters>3717</Characters>
  <Lines>30</Lines>
  <Paragraphs>8</Paragraphs>
  <TotalTime>38</TotalTime>
  <ScaleCrop>false</ScaleCrop>
  <LinksUpToDate>false</LinksUpToDate>
  <CharactersWithSpaces>4360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2016-12-29T01:24:00Z</dcterms:created>
  <dc:creator>ziye1991</dc:creator>
  <cp:lastModifiedBy>Ricky1419841229</cp:lastModifiedBy>
  <cp:lastPrinted>2019-03-20T09:21:00Z</cp:lastPrinted>
  <dcterms:modified xsi:type="dcterms:W3CDTF">2019-03-21T02:01:35Z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y fmtid="{D5CDD505-2E9C-101B-9397-08002B2CF9AE}" pid="3" name="KSORubyTemplateID" linkTarget="0">
    <vt:lpwstr>6</vt:lpwstr>
  </property>
</Properties>
</file>